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topFromText="180" w:bottomFromText="180" w:vertAnchor="text" w:tblpX="1" w:tblpYSpec="bottom"/>
        <w:tblOverlap w:val="never"/>
        <w:tblW w:w="8973" w:type="dxa"/>
        <w:tblInd w:w="0" w:type="dxa"/>
        <w:tblLayout w:type="fixed"/>
        <w:tblCellMar>
          <w:top w:w="0" w:type="dxa"/>
          <w:left w:w="108" w:type="dxa"/>
          <w:bottom w:w="0" w:type="dxa"/>
          <w:right w:w="108" w:type="dxa"/>
        </w:tblCellMar>
      </w:tblPr>
      <w:tblGrid>
        <w:gridCol w:w="4183"/>
        <w:gridCol w:w="4790"/>
      </w:tblGrid>
      <w:tr>
        <w:tblPrEx>
          <w:tblCellMar>
            <w:top w:w="0" w:type="dxa"/>
            <w:left w:w="108" w:type="dxa"/>
            <w:bottom w:w="0" w:type="dxa"/>
            <w:right w:w="108" w:type="dxa"/>
          </w:tblCellMar>
        </w:tblPrEx>
        <w:trPr>
          <w:trHeight w:val="929" w:hRule="atLeast"/>
        </w:trPr>
        <w:tc>
          <w:tcPr>
            <w:tcW w:w="4183" w:type="dxa"/>
            <w:vMerge w:val="restart"/>
            <w:vAlign w:val="center"/>
          </w:tcPr>
          <w:p>
            <w:pPr>
              <w:widowControl w:val="0"/>
              <w:kinsoku/>
              <w:autoSpaceDE/>
              <w:autoSpaceDN/>
              <w:adjustRightInd/>
              <w:snapToGrid/>
              <w:spacing w:line="240" w:lineRule="auto"/>
              <w:jc w:val="right"/>
              <w:textAlignment w:val="auto"/>
              <w:rPr>
                <w:rFonts w:ascii="方正小标宋简体" w:hAnsi="仿宋_GB2312" w:eastAsia="方正小标宋简体" w:cs="仿宋_GB2312"/>
                <w:b/>
                <w:snapToGrid/>
                <w:color w:val="FF0000"/>
                <w:w w:val="75"/>
                <w:kern w:val="2"/>
                <w:sz w:val="84"/>
                <w:szCs w:val="84"/>
                <w:lang w:val="en-US" w:eastAsia="zh-CN" w:bidi="ar-SA"/>
              </w:rPr>
            </w:pPr>
            <w:r>
              <w:rPr>
                <w:rFonts w:hint="eastAsia" w:ascii="方正小标宋简体" w:hAnsi="仿宋_GB2312" w:eastAsia="方正小标宋简体" w:cs="仿宋_GB2312"/>
                <w:b/>
                <w:bCs/>
                <w:snapToGrid w:val="0"/>
                <w:color w:val="FF0000"/>
                <w:w w:val="75"/>
                <w:kern w:val="2"/>
                <w:sz w:val="84"/>
                <w:szCs w:val="84"/>
                <w:lang w:val="en-US" w:eastAsia="zh-CN" w:bidi="ar-SA"/>
              </w:rPr>
              <w:t>南昌航空大学</w:t>
            </w:r>
          </w:p>
        </w:tc>
        <w:tc>
          <w:tcPr>
            <w:tcW w:w="4790" w:type="dxa"/>
            <w:vAlign w:val="bottom"/>
          </w:tcPr>
          <w:p>
            <w:pPr>
              <w:widowControl w:val="0"/>
              <w:kinsoku/>
              <w:autoSpaceDE/>
              <w:autoSpaceDN/>
              <w:adjustRightInd/>
              <w:snapToGrid/>
              <w:spacing w:line="240" w:lineRule="auto"/>
              <w:jc w:val="left"/>
              <w:textAlignment w:val="auto"/>
              <w:rPr>
                <w:rFonts w:ascii="方正小标宋简体" w:hAnsi="仿宋_GB2312" w:eastAsia="方正小标宋简体" w:cs="仿宋_GB2312"/>
                <w:b/>
                <w:snapToGrid w:val="0"/>
                <w:color w:val="FF0000"/>
                <w:w w:val="85"/>
                <w:kern w:val="2"/>
                <w:sz w:val="72"/>
                <w:szCs w:val="24"/>
                <w:lang w:val="en-US" w:eastAsia="zh-CN" w:bidi="ar-SA"/>
              </w:rPr>
            </w:pPr>
            <w:r>
              <w:rPr>
                <w:rFonts w:hint="eastAsia" w:ascii="方正小标宋简体" w:hAnsi="仿宋_GB2312" w:eastAsia="方正小标宋简体" w:cs="仿宋_GB2312"/>
                <w:b/>
                <w:bCs/>
                <w:snapToGrid w:val="0"/>
                <w:color w:val="FF0000"/>
                <w:w w:val="85"/>
                <w:kern w:val="2"/>
                <w:sz w:val="72"/>
                <w:szCs w:val="72"/>
                <w:lang w:val="en-US" w:eastAsia="zh-CN" w:bidi="ar-SA"/>
              </w:rPr>
              <w:t>党委学生工作部</w:t>
            </w:r>
          </w:p>
        </w:tc>
      </w:tr>
      <w:tr>
        <w:tblPrEx>
          <w:tblCellMar>
            <w:top w:w="0" w:type="dxa"/>
            <w:left w:w="108" w:type="dxa"/>
            <w:bottom w:w="0" w:type="dxa"/>
            <w:right w:w="108" w:type="dxa"/>
          </w:tblCellMar>
        </w:tblPrEx>
        <w:trPr>
          <w:trHeight w:val="936" w:hRule="atLeast"/>
        </w:trPr>
        <w:tc>
          <w:tcPr>
            <w:tcW w:w="4183" w:type="dxa"/>
            <w:vMerge w:val="continue"/>
            <w:vAlign w:val="center"/>
          </w:tcPr>
          <w:p>
            <w:pPr>
              <w:widowControl/>
              <w:kinsoku/>
              <w:autoSpaceDE/>
              <w:autoSpaceDN/>
              <w:adjustRightInd/>
              <w:snapToGrid/>
              <w:spacing w:line="240" w:lineRule="auto"/>
              <w:jc w:val="left"/>
              <w:textAlignment w:val="auto"/>
              <w:rPr>
                <w:rFonts w:ascii="方正小标宋简体" w:hAnsi="仿宋_GB2312" w:eastAsia="方正小标宋简体" w:cs="仿宋_GB2312"/>
                <w:b/>
                <w:snapToGrid/>
                <w:color w:val="FF0000"/>
                <w:kern w:val="0"/>
                <w:sz w:val="52"/>
                <w:szCs w:val="52"/>
                <w:lang w:val="en-US" w:eastAsia="zh-CN" w:bidi="ar-SA"/>
              </w:rPr>
            </w:pPr>
          </w:p>
        </w:tc>
        <w:tc>
          <w:tcPr>
            <w:tcW w:w="4790" w:type="dxa"/>
          </w:tcPr>
          <w:p>
            <w:pPr>
              <w:widowControl/>
              <w:kinsoku/>
              <w:autoSpaceDE/>
              <w:autoSpaceDN/>
              <w:adjustRightInd/>
              <w:snapToGrid/>
              <w:spacing w:line="240" w:lineRule="auto"/>
              <w:jc w:val="left"/>
              <w:textAlignment w:val="auto"/>
              <w:rPr>
                <w:rFonts w:ascii="方正小标宋简体" w:hAnsi="仿宋_GB2312" w:eastAsia="方正小标宋简体" w:cs="仿宋_GB2312"/>
                <w:b/>
                <w:bCs/>
                <w:snapToGrid w:val="0"/>
                <w:color w:val="FF0000"/>
                <w:w w:val="85"/>
                <w:kern w:val="2"/>
                <w:sz w:val="72"/>
                <w:szCs w:val="72"/>
                <w:lang w:val="en-US" w:eastAsia="zh-CN" w:bidi="ar-SA"/>
              </w:rPr>
            </w:pPr>
            <w:r>
              <w:rPr>
                <w:rFonts w:hint="eastAsia" w:ascii="方正小标宋简体" w:hAnsi="仿宋_GB2312" w:eastAsia="方正小标宋简体" w:cs="仿宋_GB2312"/>
                <w:b/>
                <w:bCs/>
                <w:snapToGrid w:val="0"/>
                <w:color w:val="FF0000"/>
                <w:spacing w:val="171"/>
                <w:w w:val="100"/>
                <w:kern w:val="0"/>
                <w:sz w:val="72"/>
                <w:szCs w:val="72"/>
                <w:fitText w:val="4284" w:id="667835429"/>
                <w:lang w:val="en-US" w:eastAsia="zh-CN" w:bidi="ar-SA"/>
              </w:rPr>
              <w:t>学生工作</w:t>
            </w:r>
            <w:r>
              <w:rPr>
                <w:rFonts w:hint="eastAsia" w:ascii="方正小标宋简体" w:hAnsi="仿宋_GB2312" w:eastAsia="方正小标宋简体" w:cs="仿宋_GB2312"/>
                <w:b/>
                <w:bCs/>
                <w:snapToGrid w:val="0"/>
                <w:color w:val="FF0000"/>
                <w:spacing w:val="0"/>
                <w:w w:val="100"/>
                <w:kern w:val="0"/>
                <w:sz w:val="72"/>
                <w:szCs w:val="72"/>
                <w:fitText w:val="4284" w:id="667835429"/>
                <w:lang w:val="en-US" w:eastAsia="zh-CN" w:bidi="ar-SA"/>
              </w:rPr>
              <w:t>处</w:t>
            </w:r>
          </w:p>
        </w:tc>
      </w:tr>
    </w:tbl>
    <w:p>
      <w:pPr>
        <w:widowControl/>
        <w:kinsoku/>
        <w:autoSpaceDE/>
        <w:autoSpaceDN/>
        <w:adjustRightInd/>
        <w:snapToGrid/>
        <w:spacing w:line="240" w:lineRule="auto"/>
        <w:jc w:val="center"/>
        <w:textAlignment w:val="auto"/>
        <w:rPr>
          <w:rFonts w:ascii="仿宋_GB2312" w:hAnsi="仿宋_GB2312" w:eastAsia="仿宋_GB2312" w:cs="仿宋_GB2312"/>
          <w:snapToGrid/>
          <w:color w:val="FF0000"/>
          <w:w w:val="70"/>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学工字〔</w:t>
      </w:r>
      <w:r>
        <w:rPr>
          <w:rFonts w:ascii="仿宋_GB2312" w:hAnsi="仿宋_GB2312" w:eastAsia="仿宋_GB2312" w:cs="仿宋_GB2312"/>
          <w:snapToGrid/>
          <w:kern w:val="2"/>
          <w:sz w:val="32"/>
          <w:szCs w:val="32"/>
          <w:lang w:val="en-US" w:eastAsia="zh-CN" w:bidi="ar-SA"/>
        </w:rPr>
        <w:t>20</w:t>
      </w:r>
      <w:r>
        <w:rPr>
          <w:rFonts w:hint="eastAsia" w:ascii="仿宋_GB2312" w:hAnsi="仿宋_GB2312" w:eastAsia="仿宋_GB2312" w:cs="仿宋_GB2312"/>
          <w:snapToGrid/>
          <w:kern w:val="2"/>
          <w:sz w:val="32"/>
          <w:szCs w:val="32"/>
          <w:lang w:val="en-US" w:eastAsia="zh-CN" w:bidi="ar-SA"/>
        </w:rPr>
        <w:t>24〕4号</w:t>
      </w:r>
    </w:p>
    <w:p>
      <w:pPr>
        <w:widowControl/>
        <w:kinsoku/>
        <w:autoSpaceDE/>
        <w:autoSpaceDN/>
        <w:adjustRightInd/>
        <w:snapToGrid/>
        <w:spacing w:line="240" w:lineRule="auto"/>
        <w:jc w:val="center"/>
        <w:textAlignment w:val="auto"/>
        <w:rPr>
          <w:rFonts w:ascii="仿宋_GB2312" w:hAnsi="Times New Roman" w:eastAsia="仿宋_GB2312" w:cs="Times New Roman"/>
          <w:snapToGrid/>
          <w:kern w:val="2"/>
          <w:sz w:val="32"/>
          <w:szCs w:val="32"/>
          <w:lang w:val="en-US" w:eastAsia="zh-CN" w:bidi="ar-SA"/>
        </w:rPr>
      </w:pPr>
      <w:r>
        <w:rPr>
          <w:rFonts w:ascii="Calibri" w:hAnsi="Calibri" w:eastAsia="宋体" w:cs="Times New Roman"/>
          <w:snapToGrid/>
          <w:kern w:val="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188595</wp:posOffset>
                </wp:positionV>
                <wp:extent cx="6096635" cy="17780"/>
                <wp:effectExtent l="0" t="15875" r="18415" b="23495"/>
                <wp:wrapNone/>
                <wp:docPr id="4" name="直接连接符 4"/>
                <wp:cNvGraphicFramePr/>
                <a:graphic xmlns:a="http://schemas.openxmlformats.org/drawingml/2006/main">
                  <a:graphicData uri="http://schemas.microsoft.com/office/word/2010/wordprocessingShape">
                    <wps:wsp>
                      <wps:cNvCnPr/>
                      <wps:spPr>
                        <a:xfrm flipV="1">
                          <a:off x="0" y="0"/>
                          <a:ext cx="6096635" cy="17780"/>
                        </a:xfrm>
                        <a:prstGeom prst="line">
                          <a:avLst/>
                        </a:prstGeom>
                        <a:ln w="317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45pt;margin-top:14.85pt;height:1.4pt;width:480.05pt;z-index:251659264;mso-width-relative:page;mso-height-relative:page;" filled="f" stroked="t" coordsize="21600,21600" o:gfxdata="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4OS2QAAAAkBAAAPAAAAAAAAAAEAIAAAACIAAABkcnMv&#10;ZG93bnJldi54bWxQSwECFAAUAAAACACHTuJAoFMr9AICAAD1AwAADgAAAAAAAAABACAAAAAoAQAA&#10;ZHJzL2Uyb0RvYy54bWxQSwUGAAAAAAYABgBZAQAAnAU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200" w:line="240" w:lineRule="auto"/>
        <w:ind w:firstLine="442" w:firstLineChars="100"/>
        <w:jc w:val="center"/>
        <w:textAlignment w:val="auto"/>
        <w:rPr>
          <w:rFonts w:ascii="Arial"/>
          <w:sz w:val="22"/>
          <w:szCs w:val="22"/>
        </w:rPr>
      </w:pPr>
      <w:r>
        <w:rPr>
          <w:rFonts w:hint="eastAsia" w:ascii="方正小标宋简体" w:hAnsi="黑体" w:eastAsia="方正小标宋简体" w:cs="Times New Roman"/>
          <w:b/>
          <w:bCs/>
          <w:snapToGrid/>
          <w:kern w:val="2"/>
          <w:sz w:val="44"/>
          <w:szCs w:val="44"/>
          <w:lang w:val="en-US" w:eastAsia="zh-CN" w:bidi="ar-SA"/>
        </w:rPr>
        <w:t>关于开展2024届本科毕业生综合素质测评及评奖评优工作的通知</w:t>
      </w:r>
    </w:p>
    <w:p>
      <w:pPr>
        <w:spacing w:before="101" w:line="222" w:lineRule="auto"/>
        <w:ind w:left="217"/>
        <w:rPr>
          <w:rFonts w:ascii="仿宋" w:hAnsi="仿宋" w:eastAsia="仿宋" w:cs="仿宋"/>
          <w:spacing w:val="6"/>
          <w:sz w:val="31"/>
          <w:szCs w:val="31"/>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各学院：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为选拔、表彰2024届本科毕业生先进个人和班级，营造良好温馨的毕业生离校氛围，激励广大毕业生积极进取、奋发向上，按照《南昌航空大学大学生素质测评方案》《南昌航空大学关于奖学金评比暂行办法》《南昌航空大学大学生“创先争优”活动评比暂行办法》相关规定，经学生工作部(处)研究，决定启动2024届本科毕业生综合素质测评及优秀学生奖学金评定、先进个人与先进班级评选工作。现将有关工作通知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000000"/>
          <w:kern w:val="0"/>
          <w:sz w:val="32"/>
          <w:szCs w:val="32"/>
          <w:lang w:val="en-US" w:eastAsia="zh-CN" w:bidi="ar"/>
        </w:rPr>
      </w:pPr>
      <w:r>
        <w:rPr>
          <w:rFonts w:hint="eastAsia" w:ascii="黑体" w:hAnsi="黑体" w:eastAsia="黑体" w:cs="黑体"/>
          <w:snapToGrid/>
          <w:color w:val="000000"/>
          <w:kern w:val="0"/>
          <w:sz w:val="32"/>
          <w:szCs w:val="32"/>
          <w:lang w:val="en-US" w:eastAsia="zh-CN" w:bidi="ar"/>
        </w:rPr>
        <w:t>一、参评对象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2024届本科毕业生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000000"/>
          <w:kern w:val="0"/>
          <w:sz w:val="32"/>
          <w:szCs w:val="32"/>
          <w:lang w:val="en-US" w:eastAsia="zh-CN" w:bidi="ar"/>
        </w:rPr>
      </w:pPr>
      <w:r>
        <w:rPr>
          <w:rFonts w:hint="eastAsia" w:ascii="黑体" w:hAnsi="黑体" w:eastAsia="黑体" w:cs="黑体"/>
          <w:snapToGrid/>
          <w:color w:val="000000"/>
          <w:kern w:val="0"/>
          <w:sz w:val="32"/>
          <w:szCs w:val="32"/>
          <w:lang w:val="en-US" w:eastAsia="zh-CN" w:bidi="ar"/>
        </w:rPr>
        <w:t>二、参评项目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kern w:val="2"/>
          <w:sz w:val="32"/>
          <w:szCs w:val="32"/>
          <w:lang w:val="en-US" w:eastAsia="zh-CN" w:bidi="ar-SA"/>
        </w:rPr>
      </w:pPr>
      <w:r>
        <w:rPr>
          <w:rFonts w:hint="eastAsia" w:ascii="楷体_GB2312" w:hAnsi="楷体_GB2312" w:eastAsia="楷体_GB2312" w:cs="楷体_GB2312"/>
          <w:b/>
          <w:bCs/>
          <w:snapToGrid/>
          <w:kern w:val="2"/>
          <w:sz w:val="32"/>
          <w:szCs w:val="32"/>
          <w:lang w:val="en-US" w:eastAsia="zh-CN" w:bidi="ar-SA"/>
        </w:rPr>
        <w:t>（一）学生综合素质测评及优秀学生奖学金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snapToGrid/>
          <w:kern w:val="2"/>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
        </w:rPr>
        <w:t>特等奖学金、一等奖学金、二等奖学金、三等奖学金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kern w:val="2"/>
          <w:sz w:val="32"/>
          <w:szCs w:val="32"/>
          <w:lang w:val="en-US" w:eastAsia="zh-CN" w:bidi="ar-SA"/>
        </w:rPr>
      </w:pPr>
      <w:r>
        <w:rPr>
          <w:rFonts w:hint="eastAsia" w:ascii="楷体_GB2312" w:hAnsi="楷体_GB2312" w:eastAsia="楷体_GB2312" w:cs="楷体_GB2312"/>
          <w:b/>
          <w:bCs/>
          <w:snapToGrid/>
          <w:kern w:val="2"/>
          <w:sz w:val="32"/>
          <w:szCs w:val="32"/>
          <w:lang w:val="en-US" w:eastAsia="zh-CN" w:bidi="ar-SA"/>
        </w:rPr>
        <w:t>先进个人与先进班级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napToGrid/>
          <w:color w:val="000000"/>
          <w:kern w:val="0"/>
          <w:sz w:val="32"/>
          <w:szCs w:val="32"/>
          <w:lang w:val="en-US" w:eastAsia="zh-CN" w:bidi="ar"/>
        </w:rPr>
        <w:t>优秀“三好”学生、“三好”学生、优秀学生干部、先进班级及2024届优秀毕业生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000000"/>
          <w:kern w:val="0"/>
          <w:sz w:val="32"/>
          <w:szCs w:val="32"/>
          <w:lang w:val="en-US" w:eastAsia="zh-CN" w:bidi="ar"/>
        </w:rPr>
      </w:pPr>
      <w:r>
        <w:rPr>
          <w:rFonts w:hint="eastAsia" w:ascii="黑体" w:hAnsi="黑体" w:eastAsia="黑体" w:cs="黑体"/>
          <w:snapToGrid/>
          <w:color w:val="000000"/>
          <w:kern w:val="0"/>
          <w:sz w:val="32"/>
          <w:szCs w:val="32"/>
          <w:lang w:val="en-US" w:eastAsia="zh-CN" w:bidi="ar"/>
        </w:rPr>
        <w:t>三、工作程序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kern w:val="2"/>
          <w:sz w:val="32"/>
          <w:szCs w:val="32"/>
          <w:lang w:val="en-US" w:eastAsia="zh-CN" w:bidi="ar-SA"/>
        </w:rPr>
      </w:pPr>
      <w:r>
        <w:rPr>
          <w:rFonts w:hint="eastAsia" w:ascii="楷体_GB2312" w:hAnsi="楷体_GB2312" w:eastAsia="楷体_GB2312" w:cs="楷体_GB2312"/>
          <w:b/>
          <w:bCs/>
          <w:snapToGrid/>
          <w:kern w:val="2"/>
          <w:sz w:val="32"/>
          <w:szCs w:val="32"/>
          <w:lang w:val="en-US" w:eastAsia="zh-CN" w:bidi="ar-SA"/>
        </w:rPr>
        <w:t>(一)部署阶段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1.各学院学生工作负责人组织召开专项工作会议，布置毕业生综合素质测评及评奖评优工作，明确时间进度安排、公告栏地点、举报监督方式等。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2.毕业班辅导员协调各班班主任落实相关工作安排和要求，由班主任主持召开专题班会，布置具体工作。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3.班主任牵头组织成立或调整班级综合素质测评及评奖评优工作小组，由班主任、学生干部、普通学生代表共3至5人组成。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kern w:val="2"/>
          <w:sz w:val="32"/>
          <w:szCs w:val="32"/>
          <w:lang w:val="en-US" w:eastAsia="zh-CN" w:bidi="ar-SA"/>
        </w:rPr>
      </w:pPr>
      <w:r>
        <w:rPr>
          <w:rFonts w:hint="eastAsia" w:ascii="楷体_GB2312" w:hAnsi="楷体_GB2312" w:eastAsia="楷体_GB2312" w:cs="楷体_GB2312"/>
          <w:b/>
          <w:bCs/>
          <w:snapToGrid/>
          <w:kern w:val="2"/>
          <w:sz w:val="32"/>
          <w:szCs w:val="32"/>
          <w:lang w:val="en-US" w:eastAsia="zh-CN" w:bidi="ar-SA"/>
        </w:rPr>
        <w:t>(二)综合素质测评及优秀学生奖学金评定阶段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1.各班按照学生手册《南昌航空大学大学生素质测评方案》进行综合素质测评，各项业绩材料及加分凭证起讫时间为</w:t>
      </w:r>
      <w:r>
        <w:rPr>
          <w:rFonts w:hint="eastAsia" w:ascii="仿宋_GB2312" w:hAnsi="仿宋_GB2312" w:eastAsia="仿宋_GB2312" w:cs="仿宋_GB2312"/>
          <w:snapToGrid/>
          <w:color w:val="auto"/>
          <w:kern w:val="0"/>
          <w:sz w:val="32"/>
          <w:szCs w:val="32"/>
          <w:lang w:val="en-US" w:eastAsia="zh-CN" w:bidi="ar"/>
        </w:rPr>
        <w:t>2023年9月1日至2024年2月24日。</w:t>
      </w:r>
      <w:r>
        <w:rPr>
          <w:rFonts w:hint="eastAsia" w:ascii="仿宋_GB2312" w:hAnsi="仿宋_GB2312" w:eastAsia="仿宋_GB2312" w:cs="仿宋_GB2312"/>
          <w:snapToGrid/>
          <w:color w:val="000000"/>
          <w:kern w:val="0"/>
          <w:sz w:val="32"/>
          <w:szCs w:val="32"/>
          <w:lang w:val="en-US" w:eastAsia="zh-CN" w:bidi="ar"/>
        </w:rPr>
        <w:t>品行诚信与素质测评加分按学院文件执行，如无文件可参照学校文件。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2.班级综合素质测评小组填写《综合素质测评统计表》(附件2)报辅导员。各班将综合素质测评结果公示不少于3个工作日后报学院汇总审核。</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3.学院将奖学金初步评定结果公示不少于3个工作日，公示无异议后报学工部(处)思政办备案。同时，各学院按照毕业生奖学金发放制度及相关财务制度编制奖学金发放计划，及时到计划财务处完成奖学金发放手续。</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kern w:val="2"/>
          <w:sz w:val="32"/>
          <w:szCs w:val="32"/>
          <w:lang w:val="en-US" w:eastAsia="zh-CN" w:bidi="ar-SA"/>
        </w:rPr>
      </w:pPr>
      <w:r>
        <w:rPr>
          <w:rFonts w:hint="eastAsia" w:ascii="楷体_GB2312" w:hAnsi="楷体_GB2312" w:eastAsia="楷体_GB2312" w:cs="楷体_GB2312"/>
          <w:b/>
          <w:bCs/>
          <w:snapToGrid/>
          <w:kern w:val="2"/>
          <w:sz w:val="32"/>
          <w:szCs w:val="32"/>
          <w:lang w:val="en-US" w:eastAsia="zh-CN" w:bidi="ar-SA"/>
        </w:rPr>
        <w:t>(三)学生先进个人与先进班级评选阶段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1.各学院指导毕业班根据2023-2024学年第一学期学生的日常表现、学业成绩、素质拓展三方面情况，按照《先进个人和先进班级评选细则》进行初评提名和民主评议。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2.各学院对毕业班学生的评优初评情况进行汇总、审核，并公示不少于3个工作日。公示无异议后报学工部(处)思政办。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3.学工部(处)进行复审，公示不少于5个工作日，经(部)处务会研究后，按程序报学校审批。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kern w:val="2"/>
          <w:sz w:val="32"/>
          <w:szCs w:val="32"/>
          <w:lang w:val="en-US" w:eastAsia="zh-CN" w:bidi="ar-SA"/>
        </w:rPr>
      </w:pPr>
      <w:r>
        <w:rPr>
          <w:rFonts w:hint="eastAsia" w:ascii="楷体_GB2312" w:hAnsi="楷体_GB2312" w:eastAsia="楷体_GB2312" w:cs="楷体_GB2312"/>
          <w:b/>
          <w:bCs/>
          <w:snapToGrid/>
          <w:kern w:val="2"/>
          <w:sz w:val="32"/>
          <w:szCs w:val="32"/>
          <w:lang w:val="en-US" w:eastAsia="zh-CN" w:bidi="ar-SA"/>
        </w:rPr>
        <w:t>(四)材料报送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color w:val="000000"/>
          <w:kern w:val="0"/>
          <w:sz w:val="32"/>
          <w:szCs w:val="32"/>
          <w:lang w:val="en-US" w:eastAsia="zh-CN" w:bidi="ar"/>
        </w:rPr>
      </w:pPr>
      <w:r>
        <w:rPr>
          <w:rFonts w:hint="eastAsia" w:ascii="仿宋_GB2312" w:hAnsi="仿宋_GB2312" w:eastAsia="仿宋_GB2312" w:cs="仿宋_GB2312"/>
          <w:b w:val="0"/>
          <w:bCs w:val="0"/>
          <w:snapToGrid/>
          <w:color w:val="000000"/>
          <w:kern w:val="0"/>
          <w:sz w:val="32"/>
          <w:szCs w:val="32"/>
          <w:lang w:val="en-US" w:eastAsia="zh-CN" w:bidi="ar"/>
        </w:rPr>
        <w:t>1.《优秀学生奖学金获奖名单》(附件3)《优秀学生奖学金发放汇总表》(附件4)的纸质和电子版于4月1日前报送</w:t>
      </w:r>
      <w:r>
        <w:rPr>
          <w:rFonts w:hint="eastAsia" w:ascii="仿宋_GB2312" w:hAnsi="仿宋_GB2312" w:eastAsia="仿宋_GB2312" w:cs="仿宋_GB2312"/>
          <w:snapToGrid/>
          <w:color w:val="000000"/>
          <w:kern w:val="0"/>
          <w:sz w:val="32"/>
          <w:szCs w:val="32"/>
          <w:lang w:val="en-US" w:eastAsia="zh-CN" w:bidi="ar"/>
        </w:rPr>
        <w:t>学生工作部(处)</w:t>
      </w:r>
      <w:r>
        <w:rPr>
          <w:rFonts w:hint="eastAsia" w:ascii="仿宋_GB2312" w:hAnsi="仿宋_GB2312" w:eastAsia="仿宋_GB2312" w:cs="仿宋_GB2312"/>
          <w:b w:val="0"/>
          <w:bCs w:val="0"/>
          <w:snapToGrid/>
          <w:color w:val="000000"/>
          <w:kern w:val="0"/>
          <w:sz w:val="32"/>
          <w:szCs w:val="32"/>
          <w:lang w:val="en-US" w:eastAsia="zh-CN" w:bidi="ar"/>
        </w:rPr>
        <w:t>思政办。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color w:val="000000"/>
          <w:kern w:val="0"/>
          <w:sz w:val="32"/>
          <w:szCs w:val="32"/>
          <w:lang w:val="en-US" w:eastAsia="zh-CN" w:bidi="ar"/>
        </w:rPr>
      </w:pPr>
      <w:r>
        <w:rPr>
          <w:rFonts w:hint="eastAsia" w:ascii="仿宋_GB2312" w:hAnsi="仿宋_GB2312" w:eastAsia="仿宋_GB2312" w:cs="仿宋_GB2312"/>
          <w:b w:val="0"/>
          <w:bCs w:val="0"/>
          <w:snapToGrid/>
          <w:color w:val="000000"/>
          <w:kern w:val="0"/>
          <w:sz w:val="32"/>
          <w:szCs w:val="32"/>
          <w:lang w:val="en-US" w:eastAsia="zh-CN" w:bidi="ar"/>
        </w:rPr>
        <w:t>2.《南昌航空大学(优秀)“三好”学生登记表》(附件5)、《南昌航空大学优秀学生干部登记表》(附件6)、《南昌航空大学先进班级登记表》(附件7)的纸质版材料，《</w:t>
      </w:r>
      <w:r>
        <w:rPr>
          <w:rFonts w:hint="eastAsia" w:ascii="仿宋_GB2312" w:hAnsi="仿宋_GB2312" w:eastAsia="仿宋_GB2312" w:cs="仿宋_GB2312"/>
          <w:b w:val="0"/>
          <w:bCs w:val="0"/>
          <w:color w:val="000000"/>
          <w:kern w:val="0"/>
          <w:sz w:val="32"/>
          <w:szCs w:val="32"/>
          <w:lang w:val="en-US" w:eastAsia="zh-CN" w:bidi="ar"/>
        </w:rPr>
        <w:t>南昌航空大学2024届毕业生评优评先汇总表</w:t>
      </w:r>
      <w:r>
        <w:rPr>
          <w:rFonts w:hint="eastAsia" w:ascii="仿宋_GB2312" w:hAnsi="仿宋_GB2312" w:eastAsia="仿宋_GB2312" w:cs="仿宋_GB2312"/>
          <w:b w:val="0"/>
          <w:bCs w:val="0"/>
          <w:snapToGrid/>
          <w:color w:val="000000"/>
          <w:kern w:val="0"/>
          <w:sz w:val="32"/>
          <w:szCs w:val="32"/>
          <w:lang w:val="en-US" w:eastAsia="zh-CN" w:bidi="ar"/>
        </w:rPr>
        <w:t>》(附件8)的纸质与电子版材料于4月8日前报送</w:t>
      </w:r>
      <w:r>
        <w:rPr>
          <w:rFonts w:hint="eastAsia" w:ascii="仿宋_GB2312" w:hAnsi="仿宋_GB2312" w:eastAsia="仿宋_GB2312" w:cs="仿宋_GB2312"/>
          <w:snapToGrid/>
          <w:color w:val="000000"/>
          <w:kern w:val="0"/>
          <w:sz w:val="32"/>
          <w:szCs w:val="32"/>
          <w:lang w:val="en-US" w:eastAsia="zh-CN" w:bidi="ar"/>
        </w:rPr>
        <w:t>学生工作部(处)</w:t>
      </w:r>
      <w:r>
        <w:rPr>
          <w:rFonts w:hint="eastAsia" w:ascii="仿宋_GB2312" w:hAnsi="仿宋_GB2312" w:eastAsia="仿宋_GB2312" w:cs="仿宋_GB2312"/>
          <w:b w:val="0"/>
          <w:bCs w:val="0"/>
          <w:snapToGrid/>
          <w:color w:val="000000"/>
          <w:kern w:val="0"/>
          <w:sz w:val="32"/>
          <w:szCs w:val="32"/>
          <w:lang w:val="en-US" w:eastAsia="zh-CN" w:bidi="ar"/>
        </w:rPr>
        <w:t>思政办。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color w:val="000000"/>
          <w:kern w:val="0"/>
          <w:sz w:val="32"/>
          <w:szCs w:val="32"/>
          <w:highlight w:val="none"/>
          <w:lang w:val="en-US" w:eastAsia="zh-CN" w:bidi="ar"/>
        </w:rPr>
      </w:pPr>
      <w:r>
        <w:rPr>
          <w:rFonts w:hint="eastAsia" w:ascii="仿宋_GB2312" w:hAnsi="仿宋_GB2312" w:eastAsia="仿宋_GB2312" w:cs="仿宋_GB2312"/>
          <w:b w:val="0"/>
          <w:bCs w:val="0"/>
          <w:snapToGrid/>
          <w:color w:val="000000"/>
          <w:kern w:val="0"/>
          <w:sz w:val="32"/>
          <w:szCs w:val="32"/>
          <w:highlight w:val="none"/>
          <w:lang w:val="en-US" w:eastAsia="zh-CN" w:bidi="ar"/>
        </w:rPr>
        <w:t>3.《南昌航空大学2024届优秀毕业生登记表》（附件9）纸质版材料，《南昌航空大学2024届优秀毕业生汇总表》(附件10)纸质与电子版材料，于5月6日前送报送</w:t>
      </w:r>
      <w:r>
        <w:rPr>
          <w:rFonts w:hint="eastAsia" w:ascii="仿宋_GB2312" w:hAnsi="仿宋_GB2312" w:eastAsia="仿宋_GB2312" w:cs="仿宋_GB2312"/>
          <w:snapToGrid/>
          <w:color w:val="000000"/>
          <w:kern w:val="0"/>
          <w:sz w:val="32"/>
          <w:szCs w:val="32"/>
          <w:lang w:val="en-US" w:eastAsia="zh-CN" w:bidi="ar"/>
        </w:rPr>
        <w:t>学生工作部(处)</w:t>
      </w:r>
      <w:r>
        <w:rPr>
          <w:rFonts w:hint="eastAsia" w:ascii="仿宋_GB2312" w:hAnsi="仿宋_GB2312" w:eastAsia="仿宋_GB2312" w:cs="仿宋_GB2312"/>
          <w:b w:val="0"/>
          <w:bCs w:val="0"/>
          <w:snapToGrid/>
          <w:color w:val="000000"/>
          <w:kern w:val="0"/>
          <w:sz w:val="32"/>
          <w:szCs w:val="32"/>
          <w:highlight w:val="none"/>
          <w:lang w:val="en-US" w:eastAsia="zh-CN" w:bidi="ar"/>
        </w:rPr>
        <w:t>思政办。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color w:val="000000"/>
          <w:kern w:val="0"/>
          <w:sz w:val="32"/>
          <w:szCs w:val="32"/>
          <w:highlight w:val="none"/>
          <w:lang w:val="en-US" w:eastAsia="zh-CN" w:bidi="ar"/>
        </w:rPr>
      </w:pPr>
      <w:r>
        <w:rPr>
          <w:rFonts w:hint="eastAsia" w:ascii="仿宋_GB2312" w:hAnsi="仿宋_GB2312" w:eastAsia="仿宋_GB2312" w:cs="仿宋_GB2312"/>
          <w:b w:val="0"/>
          <w:bCs w:val="0"/>
          <w:snapToGrid/>
          <w:color w:val="000000"/>
          <w:kern w:val="0"/>
          <w:sz w:val="32"/>
          <w:szCs w:val="32"/>
          <w:highlight w:val="none"/>
          <w:lang w:val="en-US" w:eastAsia="zh-CN" w:bidi="ar"/>
        </w:rPr>
        <w:t>纸质版材料报送至大活204-1室，电子版材料发送至邮箱：</w:t>
      </w:r>
      <w:r>
        <w:rPr>
          <w:rFonts w:hint="default" w:ascii="Times New Roman" w:hAnsi="Times New Roman" w:eastAsia="仿宋_GB2312" w:cs="Times New Roman"/>
          <w:b w:val="0"/>
          <w:bCs w:val="0"/>
          <w:color w:val="000000"/>
          <w:kern w:val="0"/>
          <w:sz w:val="32"/>
          <w:szCs w:val="32"/>
          <w:highlight w:val="none"/>
          <w:lang w:val="en-US" w:eastAsia="zh-CN" w:bidi="ar"/>
        </w:rPr>
        <w:t>xgcszb@163.com</w:t>
      </w:r>
      <w:r>
        <w:rPr>
          <w:rFonts w:hint="eastAsia" w:ascii="仿宋_GB2312" w:hAnsi="仿宋_GB2312" w:eastAsia="仿宋_GB2312" w:cs="仿宋_GB2312"/>
          <w:b w:val="0"/>
          <w:bCs w:val="0"/>
          <w:snapToGrid/>
          <w:color w:val="000000"/>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kern w:val="2"/>
          <w:sz w:val="32"/>
          <w:szCs w:val="32"/>
          <w:highlight w:val="none"/>
          <w:lang w:val="en-US" w:eastAsia="zh-CN" w:bidi="ar-SA"/>
        </w:rPr>
      </w:pPr>
      <w:r>
        <w:rPr>
          <w:rFonts w:hint="eastAsia" w:ascii="楷体_GB2312" w:hAnsi="楷体_GB2312" w:eastAsia="楷体_GB2312" w:cs="楷体_GB2312"/>
          <w:b/>
          <w:bCs/>
          <w:snapToGrid/>
          <w:kern w:val="2"/>
          <w:sz w:val="32"/>
          <w:szCs w:val="32"/>
          <w:highlight w:val="none"/>
          <w:lang w:val="en-US" w:eastAsia="zh-CN" w:bidi="ar-SA"/>
        </w:rPr>
        <w:t>(五)表彰宣传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highlight w:val="none"/>
          <w:lang w:val="en-US" w:eastAsia="zh-CN" w:bidi="ar"/>
        </w:rPr>
        <w:t>由学校授予荣誉称号，发放荣誉证书及奖品。各学</w:t>
      </w:r>
      <w:r>
        <w:rPr>
          <w:rFonts w:hint="eastAsia" w:ascii="仿宋_GB2312" w:hAnsi="仿宋_GB2312" w:eastAsia="仿宋_GB2312" w:cs="仿宋_GB2312"/>
          <w:snapToGrid/>
          <w:color w:val="000000"/>
          <w:kern w:val="0"/>
          <w:sz w:val="32"/>
          <w:szCs w:val="32"/>
          <w:lang w:val="en-US" w:eastAsia="zh-CN" w:bidi="ar"/>
        </w:rPr>
        <w:t>院应结合评奖评优结果，采取多种形式进行宣传。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000000"/>
          <w:kern w:val="0"/>
          <w:sz w:val="32"/>
          <w:szCs w:val="32"/>
          <w:lang w:val="en-US" w:eastAsia="zh-CN" w:bidi="ar"/>
        </w:rPr>
      </w:pPr>
      <w:r>
        <w:rPr>
          <w:rFonts w:hint="eastAsia" w:ascii="黑体" w:hAnsi="黑体" w:eastAsia="黑体" w:cs="黑体"/>
          <w:snapToGrid/>
          <w:color w:val="000000"/>
          <w:kern w:val="0"/>
          <w:sz w:val="32"/>
          <w:szCs w:val="32"/>
          <w:lang w:val="en-US" w:eastAsia="zh-CN" w:bidi="ar"/>
        </w:rPr>
        <w:t>工作要求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楷体_GB2312" w:hAnsi="楷体_GB2312" w:eastAsia="楷体_GB2312" w:cs="楷体_GB2312"/>
          <w:b/>
          <w:bCs/>
          <w:snapToGrid/>
          <w:kern w:val="2"/>
          <w:sz w:val="32"/>
          <w:szCs w:val="32"/>
          <w:lang w:val="en-US" w:eastAsia="zh-CN" w:bidi="ar-SA"/>
        </w:rPr>
        <w:t>(一)学院高度重视。</w:t>
      </w:r>
      <w:r>
        <w:rPr>
          <w:rFonts w:hint="eastAsia" w:ascii="仿宋_GB2312" w:hAnsi="仿宋_GB2312" w:eastAsia="仿宋_GB2312" w:cs="仿宋_GB2312"/>
          <w:snapToGrid/>
          <w:color w:val="000000"/>
          <w:kern w:val="0"/>
          <w:sz w:val="32"/>
          <w:szCs w:val="32"/>
          <w:lang w:val="en-US" w:eastAsia="zh-CN" w:bidi="ar"/>
        </w:rPr>
        <w:t>毕业生综合素质测评是落实学生过程管理、目标教育的重要举措，各学院要高度重视，成立以学生工作负责人为组长的毕业生综合素质测评及评优评先领导工作小组，全面负责此项工作的组织实施和审核把关，并做好评议过程的记录，做到有据可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楷体_GB2312" w:hAnsi="楷体_GB2312" w:eastAsia="楷体_GB2312" w:cs="楷体_GB2312"/>
          <w:b/>
          <w:bCs/>
          <w:snapToGrid/>
          <w:kern w:val="2"/>
          <w:sz w:val="32"/>
          <w:szCs w:val="32"/>
          <w:lang w:val="en-US" w:eastAsia="zh-CN" w:bidi="ar-SA"/>
        </w:rPr>
        <w:t>(二)保障公平正义。</w:t>
      </w:r>
      <w:r>
        <w:rPr>
          <w:rFonts w:hint="eastAsia" w:ascii="仿宋_GB2312" w:hAnsi="仿宋_GB2312" w:eastAsia="仿宋_GB2312" w:cs="仿宋_GB2312"/>
          <w:snapToGrid/>
          <w:color w:val="000000"/>
          <w:kern w:val="0"/>
          <w:sz w:val="32"/>
          <w:szCs w:val="32"/>
          <w:lang w:val="en-US" w:eastAsia="zh-CN" w:bidi="ar"/>
        </w:rPr>
        <w:t>各学院要严格按照公平、公开、公正原则，切实履行评选工作中的“三公开”和“三备案”程序，严格审查评定资格，按规定公示，接受学生监督，对学生反映的问题要认真调查核实，发现问题要及时修正并公布调查结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楷体_GB2312" w:hAnsi="楷体_GB2312" w:eastAsia="楷体_GB2312" w:cs="楷体_GB2312"/>
          <w:b/>
          <w:bCs/>
          <w:snapToGrid/>
          <w:kern w:val="2"/>
          <w:sz w:val="32"/>
          <w:szCs w:val="32"/>
          <w:lang w:val="en-US" w:eastAsia="zh-CN" w:bidi="ar-SA"/>
        </w:rPr>
        <w:t>(三)实行责任追究。</w:t>
      </w:r>
      <w:r>
        <w:rPr>
          <w:rFonts w:hint="eastAsia" w:ascii="仿宋_GB2312" w:hAnsi="仿宋_GB2312" w:eastAsia="仿宋_GB2312" w:cs="仿宋_GB2312"/>
          <w:snapToGrid/>
          <w:color w:val="000000"/>
          <w:kern w:val="0"/>
          <w:sz w:val="32"/>
          <w:szCs w:val="32"/>
          <w:lang w:val="en-US" w:eastAsia="zh-CN" w:bidi="ar"/>
        </w:rPr>
        <w:t>凡隐瞒错误或采取弄虚作假等不正当手段取得获评资格者，一经发现，立即取消评奖评优荣誉称号，追回已发放奖学金。视情节轻重，按校纪校规处理。对在测评和审定工作中，工作人员不负责任，有失公平、公正，不严格落实和执行学校有关规定和文件要求或工作不力拖延时间者，按有关规定追究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楷体_GB2312" w:hAnsi="楷体_GB2312" w:eastAsia="楷体_GB2312" w:cs="楷体_GB2312"/>
          <w:b/>
          <w:bCs/>
          <w:snapToGrid/>
          <w:kern w:val="2"/>
          <w:sz w:val="32"/>
          <w:szCs w:val="32"/>
          <w:lang w:val="en-US" w:eastAsia="zh-CN" w:bidi="ar-SA"/>
        </w:rPr>
        <w:t>(四)加强监督指导。</w:t>
      </w:r>
      <w:r>
        <w:rPr>
          <w:rFonts w:hint="eastAsia" w:ascii="仿宋_GB2312" w:hAnsi="仿宋_GB2312" w:eastAsia="仿宋_GB2312" w:cs="仿宋_GB2312"/>
          <w:snapToGrid/>
          <w:color w:val="000000"/>
          <w:kern w:val="0"/>
          <w:sz w:val="32"/>
          <w:szCs w:val="32"/>
          <w:lang w:val="en-US" w:eastAsia="zh-CN" w:bidi="ar"/>
        </w:rPr>
        <w:t>学工部(处)全过程监督各学院评定工作，促进评定工作的公平、公正、公开。学工部(处)设立监督举报电话和邮箱，并对举报情况进行核查，对涉及的问题移交学校纪委(监察专员办公室)。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监督举报电话：83863912，</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"mailto:邮箱xgcszb@163.com"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邮箱</w:t>
      </w:r>
      <w:r>
        <w:rPr>
          <w:rFonts w:hint="eastAsia" w:ascii="Times New Roman" w:hAnsi="Times New Roman" w:eastAsia="仿宋_GB2312" w:cs="Times New Roman"/>
          <w:color w:val="000000"/>
          <w:kern w:val="0"/>
          <w:sz w:val="32"/>
          <w:szCs w:val="32"/>
          <w:lang w:val="en-US" w:eastAsia="zh-CN" w:bidi="ar"/>
        </w:rPr>
        <w:t>xgcszb@163.com</w:t>
      </w:r>
      <w:r>
        <w:rPr>
          <w:rFonts w:hint="eastAsia" w:ascii="仿宋_GB2312" w:hAnsi="仿宋_GB2312" w:eastAsia="仿宋_GB2312" w:cs="仿宋_GB2312"/>
          <w:color w:val="000000"/>
          <w:kern w:val="0"/>
          <w:sz w:val="32"/>
          <w:szCs w:val="32"/>
          <w:lang w:val="en-US" w:eastAsia="zh-CN" w:bidi="ar"/>
        </w:rPr>
        <w:fldChar w:fldCharType="end"/>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 1.南昌航空大学2024届毕业生综合素质测评表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2.南昌航空大学2024届毕业生综合素质测评统计表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3.南昌航空大学2024届毕业生优秀学生奖学金获奖名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单登记表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4.南昌航空大学2024届毕业生优秀学生奖学金发放汇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总表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南昌航空大学（优秀）“三好”学生登记表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6</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南昌航空大学优秀学生干部登记表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7</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南昌航空大学先进班级登记表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8.南昌航空大学2024届毕业生评优评先汇总表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9.南昌航空大学2024届优秀毕业生登记表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10.南昌航空大学2024届优秀毕业生汇总表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11.南昌航空大学综合素质测评加分细则及补充说明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12.南昌航空大学先进个人和先进班集体评选细则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440" w:firstLineChars="45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440" w:firstLineChars="45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440" w:firstLineChars="45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 xml:space="preserve">                                   学生工作部(处)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2024</w:t>
      </w:r>
      <w:bookmarkStart w:id="0" w:name="_GoBack"/>
      <w:bookmarkEnd w:id="0"/>
      <w:r>
        <w:rPr>
          <w:rFonts w:hint="eastAsia" w:ascii="仿宋_GB2312" w:hAnsi="仿宋_GB2312" w:eastAsia="仿宋_GB2312" w:cs="仿宋_GB2312"/>
          <w:snapToGrid/>
          <w:color w:val="000000"/>
          <w:kern w:val="0"/>
          <w:sz w:val="32"/>
          <w:szCs w:val="32"/>
          <w:lang w:val="en-US" w:eastAsia="zh-CN" w:bidi="ar"/>
        </w:rPr>
        <w:t>年3月12日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440" w:firstLineChars="45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1440" w:firstLineChars="450"/>
        <w:jc w:val="left"/>
        <w:textAlignment w:val="auto"/>
        <w:rPr>
          <w:rFonts w:hint="eastAsia" w:ascii="仿宋_GB2312" w:hAnsi="仿宋_GB2312" w:eastAsia="仿宋_GB2312" w:cs="仿宋_GB2312"/>
          <w:color w:val="000000"/>
          <w:kern w:val="0"/>
          <w:sz w:val="32"/>
          <w:szCs w:val="32"/>
          <w:lang w:val="en-US" w:eastAsia="zh-CN" w:bidi="ar"/>
        </w:rPr>
      </w:pPr>
    </w:p>
    <w:tbl>
      <w:tblPr>
        <w:tblStyle w:val="4"/>
        <w:tblpPr w:leftFromText="180" w:rightFromText="180" w:vertAnchor="text" w:horzAnchor="page" w:tblpX="1674" w:tblpY="5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3" w:type="dxa"/>
            <w:tcBorders>
              <w:top w:val="single" w:color="auto" w:sz="4" w:space="0"/>
              <w:left w:val="nil"/>
              <w:bottom w:val="single" w:color="auto" w:sz="4" w:space="0"/>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仿宋_GB2312" w:eastAsia="仿宋_GB2312"/>
                <w:sz w:val="30"/>
                <w:szCs w:val="30"/>
                <w:vertAlign w:val="baseline"/>
              </w:rPr>
            </w:pPr>
            <w:r>
              <w:rPr>
                <w:rFonts w:hint="eastAsia" w:ascii="仿宋_GB2312" w:hAnsi="宋体" w:eastAsia="仿宋_GB2312"/>
                <w:spacing w:val="-1"/>
                <w:w w:val="70"/>
                <w:sz w:val="32"/>
                <w:szCs w:val="32"/>
              </w:rPr>
              <w:t>学生工作部</w:t>
            </w:r>
            <w:r>
              <w:rPr>
                <w:rFonts w:hint="eastAsia" w:ascii="仿宋_GB2312" w:hAnsi="宋体" w:eastAsia="仿宋_GB2312"/>
                <w:spacing w:val="-1"/>
                <w:w w:val="70"/>
                <w:sz w:val="32"/>
                <w:szCs w:val="32"/>
                <w:lang w:eastAsia="zh-CN"/>
              </w:rPr>
              <w:t>（</w:t>
            </w:r>
            <w:r>
              <w:rPr>
                <w:rFonts w:hint="eastAsia" w:ascii="仿宋_GB2312" w:hAnsi="宋体" w:eastAsia="仿宋_GB2312"/>
                <w:spacing w:val="-1"/>
                <w:w w:val="70"/>
                <w:sz w:val="32"/>
                <w:szCs w:val="32"/>
              </w:rPr>
              <w:t>处</w:t>
            </w:r>
            <w:r>
              <w:rPr>
                <w:rFonts w:hint="eastAsia" w:ascii="仿宋_GB2312" w:hAnsi="宋体" w:eastAsia="仿宋_GB2312"/>
                <w:spacing w:val="-1"/>
                <w:w w:val="70"/>
                <w:sz w:val="32"/>
                <w:szCs w:val="32"/>
                <w:lang w:eastAsia="zh-CN"/>
              </w:rPr>
              <w:t>）</w:t>
            </w:r>
            <w:r>
              <w:rPr>
                <w:rFonts w:hint="eastAsia" w:ascii="仿宋_GB2312" w:hAnsi="宋体" w:eastAsia="仿宋_GB2312"/>
                <w:color w:val="000000"/>
                <w:spacing w:val="-1"/>
                <w:w w:val="70"/>
                <w:sz w:val="32"/>
                <w:szCs w:val="32"/>
                <w:lang w:val="en-US" w:eastAsia="zh-CN"/>
              </w:rPr>
              <w:t>大学生思想政治教育办公室</w:t>
            </w:r>
            <w:r>
              <w:rPr>
                <w:rFonts w:hint="eastAsia" w:ascii="仿宋_GB2312" w:hAnsi="宋体" w:eastAsia="仿宋_GB2312"/>
                <w:w w:val="83"/>
                <w:sz w:val="32"/>
                <w:szCs w:val="32"/>
              </w:rPr>
              <w:t xml:space="preserve">   </w:t>
            </w:r>
            <w:r>
              <w:rPr>
                <w:rFonts w:hint="eastAsia" w:ascii="仿宋_GB2312" w:hAnsi="宋体" w:eastAsia="仿宋_GB2312"/>
                <w:w w:val="83"/>
                <w:sz w:val="32"/>
                <w:szCs w:val="32"/>
                <w:lang w:val="en-US" w:eastAsia="zh-CN"/>
              </w:rPr>
              <w:t xml:space="preserve">    </w:t>
            </w:r>
            <w:r>
              <w:rPr>
                <w:rFonts w:hint="eastAsia" w:ascii="仿宋_GB2312" w:hAnsi="宋体" w:eastAsia="仿宋_GB2312"/>
                <w:w w:val="83"/>
                <w:sz w:val="32"/>
                <w:szCs w:val="32"/>
              </w:rPr>
              <w:t xml:space="preserve"> </w:t>
            </w:r>
            <w:r>
              <w:rPr>
                <w:rFonts w:hint="eastAsia" w:ascii="仿宋_GB2312" w:hAnsi="宋体" w:eastAsia="仿宋_GB2312"/>
                <w:w w:val="83"/>
                <w:sz w:val="32"/>
                <w:szCs w:val="32"/>
                <w:lang w:val="en-US" w:eastAsia="zh-CN"/>
              </w:rPr>
              <w:t xml:space="preserve">   </w:t>
            </w:r>
            <w:r>
              <w:rPr>
                <w:rFonts w:hint="eastAsia" w:ascii="仿宋_GB2312" w:hAnsi="宋体" w:eastAsia="仿宋_GB2312"/>
                <w:w w:val="83"/>
                <w:sz w:val="32"/>
                <w:szCs w:val="32"/>
              </w:rPr>
              <w:t xml:space="preserve"> 202</w:t>
            </w:r>
            <w:r>
              <w:rPr>
                <w:rFonts w:hint="eastAsia" w:ascii="仿宋_GB2312" w:hAnsi="宋体" w:eastAsia="仿宋_GB2312"/>
                <w:w w:val="83"/>
                <w:sz w:val="32"/>
                <w:szCs w:val="32"/>
                <w:lang w:val="en-US" w:eastAsia="zh-CN"/>
              </w:rPr>
              <w:t>4</w:t>
            </w:r>
            <w:r>
              <w:rPr>
                <w:rFonts w:hint="eastAsia" w:ascii="仿宋_GB2312" w:hAnsi="宋体" w:eastAsia="仿宋_GB2312"/>
                <w:w w:val="83"/>
                <w:sz w:val="32"/>
                <w:szCs w:val="32"/>
              </w:rPr>
              <w:t>年</w:t>
            </w:r>
            <w:r>
              <w:rPr>
                <w:rFonts w:hint="eastAsia" w:ascii="仿宋_GB2312" w:hAnsi="宋体" w:eastAsia="仿宋_GB2312"/>
                <w:w w:val="83"/>
                <w:sz w:val="32"/>
                <w:szCs w:val="32"/>
                <w:lang w:val="en-US" w:eastAsia="zh-CN"/>
              </w:rPr>
              <w:t>3月12</w:t>
            </w:r>
            <w:r>
              <w:rPr>
                <w:rFonts w:hint="eastAsia" w:ascii="仿宋_GB2312" w:hAnsi="宋体" w:eastAsia="仿宋_GB2312"/>
                <w:w w:val="83"/>
                <w:sz w:val="32"/>
                <w:szCs w:val="32"/>
              </w:rPr>
              <w:t>日印</w:t>
            </w:r>
            <w:r>
              <w:rPr>
                <w:rFonts w:hint="eastAsia" w:ascii="仿宋_GB2312" w:hAnsi="宋体" w:eastAsia="仿宋_GB2312"/>
                <w:w w:val="83"/>
                <w:sz w:val="32"/>
                <w:szCs w:val="32"/>
                <w:lang w:val="en-US" w:eastAsia="zh-CN"/>
              </w:rPr>
              <w:t>发</w:t>
            </w:r>
          </w:p>
        </w:tc>
      </w:tr>
    </w:tbl>
    <w:p>
      <w:pPr>
        <w:spacing w:before="101" w:line="220" w:lineRule="auto"/>
        <w:rPr>
          <w:rFonts w:ascii="仿宋" w:hAnsi="仿宋" w:eastAsia="仿宋" w:cs="仿宋"/>
          <w:sz w:val="31"/>
          <w:szCs w:val="31"/>
        </w:rPr>
      </w:pPr>
    </w:p>
    <w:sectPr>
      <w:footerReference r:id="rId5" w:type="default"/>
      <w:pgSz w:w="11906" w:h="16839"/>
      <w:pgMar w:top="1431" w:right="1317" w:bottom="1646" w:left="1588" w:header="0" w:footer="13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right="266"/>
      <w:jc w:val="right"/>
      <w:rPr>
        <w:rFonts w:ascii="宋体" w:hAnsi="宋体" w:eastAsia="宋体" w:cs="宋体"/>
        <w:sz w:val="28"/>
        <w:szCs w:val="28"/>
      </w:rPr>
    </w:pPr>
    <w:r>
      <w:rPr>
        <w:rFonts w:ascii="宋体" w:hAnsi="宋体" w:eastAsia="宋体" w:cs="宋体"/>
        <w:color w:val="FFFFFF"/>
        <w:spacing w:val="-1"/>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E24CD"/>
    <w:multiLevelType w:val="singleLevel"/>
    <w:tmpl w:val="357E24CD"/>
    <w:lvl w:ilvl="0" w:tentative="0">
      <w:start w:val="4"/>
      <w:numFmt w:val="chineseCounting"/>
      <w:suff w:val="nothing"/>
      <w:lvlText w:val="%1、"/>
      <w:lvlJc w:val="left"/>
      <w:rPr>
        <w:rFonts w:hint="eastAsia"/>
      </w:rPr>
    </w:lvl>
  </w:abstractNum>
  <w:abstractNum w:abstractNumId="1">
    <w:nsid w:val="36FCE028"/>
    <w:multiLevelType w:val="singleLevel"/>
    <w:tmpl w:val="36FCE02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3ZTYwOTM5YjJjMDA2ZmVlNzlmMzk1YWY2ZDU1ZTQifQ=="/>
  </w:docVars>
  <w:rsids>
    <w:rsidRoot w:val="00000000"/>
    <w:rsid w:val="02D908B8"/>
    <w:rsid w:val="0E8F4521"/>
    <w:rsid w:val="0FBA73D3"/>
    <w:rsid w:val="13DB3D64"/>
    <w:rsid w:val="17CA1D6A"/>
    <w:rsid w:val="229A051F"/>
    <w:rsid w:val="26073220"/>
    <w:rsid w:val="27E63FF9"/>
    <w:rsid w:val="28914274"/>
    <w:rsid w:val="2C694494"/>
    <w:rsid w:val="2F220A67"/>
    <w:rsid w:val="2FEF6212"/>
    <w:rsid w:val="348F0527"/>
    <w:rsid w:val="35845C86"/>
    <w:rsid w:val="37E8067A"/>
    <w:rsid w:val="3CE33B06"/>
    <w:rsid w:val="3EA82911"/>
    <w:rsid w:val="49257AB3"/>
    <w:rsid w:val="4C625E60"/>
    <w:rsid w:val="58D04AE7"/>
    <w:rsid w:val="5AF87969"/>
    <w:rsid w:val="5D4D1588"/>
    <w:rsid w:val="61DC065B"/>
    <w:rsid w:val="63D469FA"/>
    <w:rsid w:val="683B44DA"/>
    <w:rsid w:val="6B9D2F4E"/>
    <w:rsid w:val="6CB202B7"/>
    <w:rsid w:val="6D72167A"/>
    <w:rsid w:val="6D7A747D"/>
    <w:rsid w:val="6DEF55B7"/>
    <w:rsid w:val="718E2B57"/>
    <w:rsid w:val="748118F5"/>
    <w:rsid w:val="74AE1D28"/>
    <w:rsid w:val="77CF7CC5"/>
    <w:rsid w:val="79E13D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2096</Words>
  <Characters>2241</Characters>
  <TotalTime>1</TotalTime>
  <ScaleCrop>false</ScaleCrop>
  <LinksUpToDate>false</LinksUpToDate>
  <CharactersWithSpaces>2289</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2022-02-24T10:56:00Z</dcterms:created>
  <dc:creator>纪旭</dc:creator>
  <cp:lastModifiedBy>桔子</cp:lastModifiedBy>
  <cp:lastPrinted>2024-03-11T09:17:00Z</cp:lastPrinted>
  <dcterms:modified xsi:type="dcterms:W3CDTF">2024-03-12T03:07:23Z</dcterms:modified>
  <dc:title>关于组织接受“E路爱心中国行”慈善捐资助学活动的通知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2023-03-02T11:06:49Z</vt:filetime>
  </property>
  <property fmtid="{D5CDD505-2E9C-101B-9397-08002B2CF9AE}" pid="4" name="KSOProductBuildVer">
    <vt:lpwstr>2052-12.1.0.16388</vt:lpwstr>
  </property>
  <property fmtid="{D5CDD505-2E9C-101B-9397-08002B2CF9AE}" pid="5" name="ICV">
    <vt:lpwstr>860781E9B0FA4786B570C1D499B1B666</vt:lpwstr>
  </property>
</Properties>
</file>